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1CCA" w14:textId="77777777" w:rsidR="005B50D6" w:rsidRDefault="005B50D6" w:rsidP="005B50D6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  <w:lang w:val="af-ZA"/>
        </w:rPr>
      </w:pPr>
    </w:p>
    <w:p w14:paraId="48FC418E" w14:textId="77777777" w:rsidR="005B50D6" w:rsidRDefault="005B50D6" w:rsidP="005B50D6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  <w:lang w:val="af-ZA"/>
        </w:rPr>
      </w:pPr>
    </w:p>
    <w:p w14:paraId="106BCC11" w14:textId="77777777" w:rsidR="005B50D6" w:rsidRDefault="005B50D6" w:rsidP="005B50D6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  <w:lang w:val="af-ZA"/>
        </w:rPr>
      </w:pPr>
    </w:p>
    <w:p w14:paraId="128055BC" w14:textId="77777777" w:rsidR="005B50D6" w:rsidRPr="001649BA" w:rsidRDefault="005B50D6" w:rsidP="005B50D6">
      <w:pPr>
        <w:spacing w:before="60" w:after="0" w:line="240" w:lineRule="auto"/>
        <w:ind w:left="114" w:right="-20"/>
        <w:rPr>
          <w:sz w:val="16"/>
          <w:szCs w:val="16"/>
          <w:lang w:val="af-ZA"/>
        </w:rPr>
      </w:pPr>
      <w:r w:rsidRPr="001649BA">
        <w:rPr>
          <w:noProof/>
          <w:lang w:val="af-ZA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C6D76F" wp14:editId="3943C638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595AA" id="Group 6" o:spid="_x0000_s1026" style="position:absolute;margin-left:195.35pt;margin-top:95.6pt;width:315pt;height:.1pt;z-index:-251657216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5B50D6" w:rsidRPr="001649BA" w14:paraId="5461BDD8" w14:textId="77777777" w:rsidTr="00DE37AC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6065D18E" w14:textId="77777777" w:rsidR="005B50D6" w:rsidRPr="001649BA" w:rsidRDefault="005B50D6" w:rsidP="00DE37AC">
            <w:pPr>
              <w:spacing w:before="3" w:after="0" w:line="140" w:lineRule="exact"/>
              <w:rPr>
                <w:sz w:val="14"/>
                <w:szCs w:val="14"/>
                <w:lang w:val="af-ZA"/>
              </w:rPr>
            </w:pPr>
          </w:p>
          <w:p w14:paraId="3D2520A2" w14:textId="77777777" w:rsidR="005B50D6" w:rsidRPr="001649BA" w:rsidRDefault="005B50D6" w:rsidP="00DE37AC">
            <w:pPr>
              <w:spacing w:after="0" w:line="240" w:lineRule="auto"/>
              <w:ind w:left="1360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S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6"/>
                <w:lang w:val="af-ZA"/>
              </w:rPr>
              <w:t>T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AN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4"/>
                <w:lang w:val="af-ZA"/>
              </w:rPr>
              <w:t>D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ARDNI OB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R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1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Z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5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C SADR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Ž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3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JA DOKUMEN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6"/>
                <w:lang w:val="af-ZA"/>
              </w:rPr>
              <w:t>T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 xml:space="preserve">A 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Z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 S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3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9"/>
                <w:lang w:val="af-ZA"/>
              </w:rPr>
              <w:t>V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JE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6"/>
                <w:lang w:val="af-ZA"/>
              </w:rPr>
              <w:t>T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2"/>
                <w:lang w:val="af-ZA"/>
              </w:rPr>
              <w:t>V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ANJE</w:t>
            </w:r>
          </w:p>
        </w:tc>
      </w:tr>
      <w:tr w:rsidR="005B50D6" w:rsidRPr="001649BA" w14:paraId="6BDE59BC" w14:textId="77777777" w:rsidTr="00DE37AC">
        <w:trPr>
          <w:trHeight w:hRule="exact" w:val="1016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4BCDCE3" w14:textId="77777777" w:rsidR="005B50D6" w:rsidRPr="001649BA" w:rsidRDefault="005B50D6" w:rsidP="00DE37AC">
            <w:pPr>
              <w:spacing w:after="0" w:line="200" w:lineRule="exact"/>
              <w:rPr>
                <w:sz w:val="20"/>
                <w:szCs w:val="20"/>
                <w:lang w:val="af-ZA"/>
              </w:rPr>
            </w:pPr>
          </w:p>
          <w:p w14:paraId="1C72CD01" w14:textId="77777777" w:rsidR="005B50D6" w:rsidRPr="001649BA" w:rsidRDefault="005B50D6" w:rsidP="00DE37AC">
            <w:pPr>
              <w:spacing w:before="1" w:after="0" w:line="240" w:lineRule="exact"/>
              <w:rPr>
                <w:sz w:val="24"/>
                <w:szCs w:val="24"/>
                <w:lang w:val="af-ZA"/>
              </w:rPr>
            </w:pPr>
          </w:p>
          <w:p w14:paraId="7B2F5F59" w14:textId="77777777" w:rsidR="005B50D6" w:rsidRPr="001649BA" w:rsidRDefault="005B50D6" w:rsidP="00DE37AC">
            <w:pPr>
              <w:spacing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Nasl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369DE2E" w14:textId="77777777" w:rsidR="005B50D6" w:rsidRPr="001649BA" w:rsidRDefault="005B50D6" w:rsidP="00DE37AC">
            <w:pPr>
              <w:spacing w:before="6" w:after="0" w:line="280" w:lineRule="exact"/>
              <w:ind w:left="213" w:right="186"/>
              <w:rPr>
                <w:sz w:val="28"/>
                <w:szCs w:val="28"/>
                <w:lang w:val="af-ZA"/>
              </w:rPr>
            </w:pPr>
          </w:p>
          <w:p w14:paraId="38D20388" w14:textId="071AC3C4" w:rsidR="005B50D6" w:rsidRPr="009F68F1" w:rsidRDefault="005B50D6" w:rsidP="00DE37AC">
            <w:pPr>
              <w:spacing w:after="0" w:line="240" w:lineRule="auto"/>
              <w:ind w:left="213" w:right="186"/>
              <w:rPr>
                <w:rFonts w:eastAsia="Myriad Pro" w:cs="Myriad Pro"/>
                <w:b/>
                <w:bCs/>
                <w:lang w:val="af-ZA"/>
              </w:rPr>
            </w:pPr>
            <w:r w:rsidRPr="005B50D6">
              <w:rPr>
                <w:rFonts w:eastAsia="Myriad Pro" w:cs="Myriad Pro"/>
                <w:b/>
                <w:bCs/>
              </w:rPr>
              <w:t>Koncept projekta centar za dobrobit životinja Grad Karlovac</w:t>
            </w:r>
            <w:r>
              <w:rPr>
                <w:rFonts w:eastAsia="Myriad Pro" w:cs="Myriad Pro"/>
                <w:b/>
                <w:bCs/>
              </w:rPr>
              <w:t xml:space="preserve"> i I</w:t>
            </w:r>
            <w:r w:rsidRPr="005B50D6">
              <w:rPr>
                <w:rFonts w:eastAsia="Myriad Pro" w:cs="Myriad Pro"/>
                <w:b/>
                <w:bCs/>
              </w:rPr>
              <w:t xml:space="preserve">dejni koncept centra za brigu o životinjama </w:t>
            </w:r>
          </w:p>
        </w:tc>
      </w:tr>
      <w:tr w:rsidR="005B50D6" w:rsidRPr="001649BA" w14:paraId="66ADC1CF" w14:textId="77777777" w:rsidTr="00DE37AC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257FA0" w14:textId="77777777" w:rsidR="005B50D6" w:rsidRPr="001649BA" w:rsidRDefault="005B50D6" w:rsidP="00DE37AC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S</w:t>
            </w:r>
            <w:r w:rsidRPr="001649BA">
              <w:rPr>
                <w:rFonts w:eastAsia="Myriad Pro" w:cs="Myriad Pro"/>
                <w:color w:val="231F20"/>
                <w:spacing w:val="2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vara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elj dokumenta, tijelo koje p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rov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odi s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a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vje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9E008E" w14:textId="0FB55F71" w:rsidR="005B50D6" w:rsidRPr="000B5386" w:rsidRDefault="005B50D6" w:rsidP="00DE37AC">
            <w:pPr>
              <w:spacing w:before="16" w:after="0" w:line="280" w:lineRule="exact"/>
              <w:ind w:left="213" w:right="186"/>
              <w:rPr>
                <w:lang w:val="af-ZA"/>
              </w:rPr>
            </w:pPr>
            <w:r w:rsidRPr="000B5386">
              <w:rPr>
                <w:lang w:val="af-ZA"/>
              </w:rPr>
              <w:t>Grad Karlovac</w:t>
            </w:r>
          </w:p>
          <w:p w14:paraId="298822DA" w14:textId="77777777" w:rsidR="005B50D6" w:rsidRPr="000B5386" w:rsidRDefault="005B50D6" w:rsidP="00DE37AC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af-ZA"/>
              </w:rPr>
            </w:pPr>
          </w:p>
        </w:tc>
      </w:tr>
      <w:tr w:rsidR="005B50D6" w:rsidRPr="001649BA" w14:paraId="021563E4" w14:textId="77777777" w:rsidTr="00DE37AC">
        <w:trPr>
          <w:trHeight w:hRule="exact" w:val="5356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2F12061" w14:textId="77777777" w:rsidR="005B50D6" w:rsidRPr="001649BA" w:rsidRDefault="005B50D6" w:rsidP="00DE37A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83146F">
              <w:rPr>
                <w:rFonts w:eastAsia="Myriad Pro" w:cs="Myriad Pro"/>
                <w:spacing w:val="-2"/>
              </w:rPr>
              <w:t>S</w:t>
            </w:r>
            <w:r w:rsidRPr="0083146F">
              <w:rPr>
                <w:rFonts w:eastAsia="Myriad Pro" w:cs="Myriad Pro"/>
              </w:rPr>
              <w:t>vrha dokumenta / 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672BA25" w14:textId="2932A516" w:rsidR="005B50D6" w:rsidRPr="005B50D6" w:rsidRDefault="005B50D6" w:rsidP="005B50D6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K</w:t>
            </w:r>
            <w:r w:rsidRPr="005B50D6">
              <w:rPr>
                <w:rFonts w:eastAsia="Myriad Pro" w:cs="Myriad Pro"/>
              </w:rPr>
              <w:t>oncept projekta „Centra za brigu o životinjama u Gradu Karlovcu“ sastoji se od definicije sadržaja</w:t>
            </w:r>
            <w:r>
              <w:rPr>
                <w:rFonts w:eastAsia="Myriad Pro" w:cs="Myriad Pro"/>
              </w:rPr>
              <w:t xml:space="preserve">, </w:t>
            </w:r>
            <w:r w:rsidRPr="005B50D6">
              <w:rPr>
                <w:rFonts w:eastAsia="Myriad Pro" w:cs="Myriad Pro"/>
              </w:rPr>
              <w:t xml:space="preserve"> model upravljanja i održivosti projekta koji će omogućiti obavljanje funkcije centra kroz samoodrživ i atraktivan sadržaj.</w:t>
            </w:r>
          </w:p>
          <w:p w14:paraId="4FF98ABB" w14:textId="78B06ED5" w:rsidR="005B50D6" w:rsidRPr="007B4C14" w:rsidRDefault="005B50D6" w:rsidP="005B50D6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r w:rsidRPr="005B50D6">
              <w:rPr>
                <w:rFonts w:eastAsia="Myriad Pro" w:cs="Myriad Pro"/>
              </w:rPr>
              <w:t>Kroz koncept projekta očekuje se usuglašavanje stavova dionika, očekivanja od strane investitora te modeliranje projekta kako bi bio prihvatljiv za vanjske izvore financiranja.</w:t>
            </w:r>
            <w:r>
              <w:rPr>
                <w:rFonts w:eastAsia="Myriad Pro" w:cs="Myriad Pro"/>
              </w:rPr>
              <w:t xml:space="preserve"> </w:t>
            </w:r>
            <w:r w:rsidRPr="005B50D6">
              <w:rPr>
                <w:rFonts w:eastAsia="Myriad Pro" w:cs="Myriad Pro"/>
              </w:rPr>
              <w:t>Uloga koncepta je pružiti inpute za daljnju detaljnu arhitektonsku, financijsku, marketinšku i pravnu razradu projekta</w:t>
            </w:r>
            <w:r w:rsidR="006C79DC">
              <w:rPr>
                <w:rFonts w:eastAsia="Myriad Pro" w:cs="Myriad Pro"/>
              </w:rPr>
              <w:t xml:space="preserve">, te  je Idejni koncept  prijedlog za izgradnju centra na dijelu prostora napuštene vojarne </w:t>
            </w:r>
          </w:p>
          <w:p w14:paraId="125857EE" w14:textId="77777777" w:rsidR="005B50D6" w:rsidRDefault="005B50D6" w:rsidP="005B50D6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en-GB"/>
              </w:rPr>
            </w:pPr>
          </w:p>
          <w:p w14:paraId="33F0EC4C" w14:textId="77777777" w:rsidR="006C79DC" w:rsidRDefault="006C79DC" w:rsidP="005B50D6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en-GB"/>
              </w:rPr>
            </w:pPr>
          </w:p>
          <w:p w14:paraId="31721ED3" w14:textId="2398DC1D" w:rsidR="006C79DC" w:rsidRPr="004C3073" w:rsidRDefault="006C79DC" w:rsidP="005B50D6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en-GB"/>
              </w:rPr>
            </w:pPr>
          </w:p>
        </w:tc>
      </w:tr>
      <w:tr w:rsidR="005B50D6" w:rsidRPr="001649BA" w14:paraId="49BB29A7" w14:textId="77777777" w:rsidTr="00DE37AC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9A5D023" w14:textId="77777777" w:rsidR="005B50D6" w:rsidRPr="001649BA" w:rsidRDefault="005B50D6" w:rsidP="00DE37AC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92E8BEF" w14:textId="67457C5C" w:rsidR="005B50D6" w:rsidRPr="004C3073" w:rsidRDefault="006C79DC" w:rsidP="00DE37AC">
            <w:pPr>
              <w:spacing w:before="35" w:after="0" w:line="240" w:lineRule="auto"/>
              <w:ind w:left="165" w:right="-20"/>
              <w:rPr>
                <w:rFonts w:eastAsia="Myriad Pro" w:cs="Myriad Pro"/>
                <w:bCs/>
                <w:lang w:val="af-ZA"/>
              </w:rPr>
            </w:pPr>
            <w:r>
              <w:rPr>
                <w:rFonts w:eastAsia="Myriad Pro" w:cs="Myriad Pro"/>
                <w:bCs/>
                <w:lang w:val="af-ZA"/>
              </w:rPr>
              <w:t>Siječanj 2022.godine</w:t>
            </w:r>
            <w:r w:rsidR="005B50D6">
              <w:rPr>
                <w:rFonts w:eastAsia="Myriad Pro" w:cs="Myriad Pro"/>
                <w:bCs/>
                <w:lang w:val="af-ZA"/>
              </w:rPr>
              <w:t xml:space="preserve"> </w:t>
            </w:r>
          </w:p>
        </w:tc>
      </w:tr>
      <w:tr w:rsidR="005B50D6" w:rsidRPr="001649BA" w14:paraId="4196E42A" w14:textId="77777777" w:rsidTr="00DE37AC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C39D46B" w14:textId="77777777" w:rsidR="005B50D6" w:rsidRPr="001649BA" w:rsidRDefault="005B50D6" w:rsidP="00DE37A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me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oda s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a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vje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anja koja 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ć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 se primijeniti:</w:t>
            </w:r>
            <w:r w:rsidRPr="001649BA">
              <w:rPr>
                <w:lang w:val="af-ZA"/>
              </w:rPr>
              <w:t xml:space="preserve"> </w:t>
            </w:r>
            <w:r>
              <w:rPr>
                <w:lang w:val="af-ZA"/>
              </w:rPr>
              <w:t>Javno savjetovanje</w:t>
            </w:r>
          </w:p>
        </w:tc>
      </w:tr>
      <w:tr w:rsidR="005B50D6" w:rsidRPr="001649BA" w14:paraId="4813FF7D" w14:textId="77777777" w:rsidTr="00DE37AC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4BBEA2F" w14:textId="77777777" w:rsidR="005B50D6" w:rsidRPr="001649BA" w:rsidRDefault="005B50D6" w:rsidP="00DE37AC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objašnjenje e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entualnih 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eć donesenih odlu</w:t>
            </w:r>
            <w:r w:rsidRPr="001649BA">
              <w:rPr>
                <w:rFonts w:eastAsia="Myriad Pro" w:cs="Myriad Pro"/>
                <w:color w:val="231F20"/>
                <w:spacing w:val="4"/>
                <w:lang w:val="af-ZA"/>
              </w:rPr>
              <w:t>k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a i pojašnjenje razloga za odabir pojedine opcije</w:t>
            </w:r>
          </w:p>
        </w:tc>
      </w:tr>
      <w:tr w:rsidR="005B50D6" w:rsidRPr="001649BA" w14:paraId="43BD48BD" w14:textId="77777777" w:rsidTr="00DE37AC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23D4643" w14:textId="77777777" w:rsidR="005B50D6" w:rsidRPr="004C3073" w:rsidRDefault="005B50D6" w:rsidP="00DE37AC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lang w:val="af-ZA"/>
              </w:rPr>
            </w:pPr>
            <w:r w:rsidRPr="004C3073">
              <w:rPr>
                <w:rFonts w:eastAsia="Myriad Pro" w:cs="Myriad Pro"/>
                <w:lang w:val="af-ZA"/>
              </w:rPr>
              <w:t xml:space="preserve">– </w:t>
            </w:r>
            <w:r w:rsidRPr="004C3073">
              <w:rPr>
                <w:rFonts w:eastAsia="Myriad Pro" w:cs="Myriad Pro"/>
              </w:rPr>
              <w:t xml:space="preserve">ako je </w:t>
            </w:r>
            <w:r w:rsidRPr="004C3073">
              <w:rPr>
                <w:rFonts w:eastAsia="Myriad Pro" w:cs="Myriad Pro"/>
                <w:spacing w:val="-2"/>
              </w:rPr>
              <w:t>r</w:t>
            </w:r>
            <w:r w:rsidRPr="004C3073">
              <w:rPr>
                <w:rFonts w:eastAsia="Myriad Pro" w:cs="Myriad Pro"/>
              </w:rPr>
              <w:t>elevantn</w:t>
            </w:r>
            <w:r w:rsidRPr="004C3073">
              <w:rPr>
                <w:rFonts w:eastAsia="Myriad Pro" w:cs="Myriad Pro"/>
                <w:spacing w:val="-5"/>
              </w:rPr>
              <w:t>o</w:t>
            </w:r>
            <w:r w:rsidRPr="004C3073">
              <w:rPr>
                <w:rFonts w:eastAsia="Myriad Pro" w:cs="Myriad Pro"/>
              </w:rPr>
              <w:t>, različiti i</w:t>
            </w:r>
            <w:r w:rsidRPr="004C3073">
              <w:rPr>
                <w:rFonts w:eastAsia="Myriad Pro" w:cs="Myriad Pro"/>
                <w:spacing w:val="5"/>
              </w:rPr>
              <w:t>z</w:t>
            </w:r>
            <w:r w:rsidRPr="004C3073">
              <w:rPr>
                <w:rFonts w:eastAsia="Myriad Pro" w:cs="Myriad Pro"/>
                <w:spacing w:val="-2"/>
              </w:rPr>
              <w:t>v</w:t>
            </w:r>
            <w:r w:rsidRPr="004C3073">
              <w:rPr>
                <w:rFonts w:eastAsia="Myriad Pro" w:cs="Myriad Pro"/>
              </w:rPr>
              <w:t>ori mišljenja i in</w:t>
            </w:r>
            <w:r w:rsidRPr="004C3073">
              <w:rPr>
                <w:rFonts w:eastAsia="Myriad Pro" w:cs="Myriad Pro"/>
                <w:spacing w:val="-3"/>
              </w:rPr>
              <w:t>f</w:t>
            </w:r>
            <w:r w:rsidRPr="004C3073">
              <w:rPr>
                <w:rFonts w:eastAsia="Myriad Pro" w:cs="Myriad Pro"/>
              </w:rPr>
              <w:t xml:space="preserve">ormacija </w:t>
            </w:r>
            <w:r w:rsidRPr="004C3073">
              <w:rPr>
                <w:rFonts w:eastAsia="Myriad Pro" w:cs="Myriad Pro"/>
                <w:spacing w:val="-1"/>
              </w:rPr>
              <w:t>t</w:t>
            </w:r>
            <w:r w:rsidRPr="004C3073">
              <w:rPr>
                <w:rFonts w:eastAsia="Myriad Pro" w:cs="Myriad Pro"/>
              </w:rPr>
              <w:t xml:space="preserve">e činjenični podaci s </w:t>
            </w:r>
            <w:r w:rsidRPr="004C3073">
              <w:rPr>
                <w:rFonts w:eastAsia="Myriad Pro" w:cs="Myriad Pro"/>
                <w:spacing w:val="-1"/>
              </w:rPr>
              <w:t>t</w:t>
            </w:r>
            <w:r w:rsidRPr="004C3073">
              <w:rPr>
                <w:rFonts w:eastAsia="Myriad Pro" w:cs="Myriad Pro"/>
              </w:rPr>
              <w:t xml:space="preserve">emeljitim popratnim </w:t>
            </w:r>
            <w:r w:rsidRPr="004C3073">
              <w:rPr>
                <w:rFonts w:eastAsia="Myriad Pro" w:cs="Myriad Pro"/>
                <w:spacing w:val="-2"/>
              </w:rPr>
              <w:t>r</w:t>
            </w:r>
            <w:r w:rsidRPr="004C3073">
              <w:rPr>
                <w:rFonts w:eastAsia="Myriad Pro" w:cs="Myriad Pro"/>
              </w:rPr>
              <w:t>e</w:t>
            </w:r>
            <w:r w:rsidRPr="004C3073">
              <w:rPr>
                <w:rFonts w:eastAsia="Myriad Pro" w:cs="Myriad Pro"/>
                <w:spacing w:val="-3"/>
              </w:rPr>
              <w:t>f</w:t>
            </w:r>
            <w:r w:rsidRPr="004C3073">
              <w:rPr>
                <w:rFonts w:eastAsia="Myriad Pro" w:cs="Myriad Pro"/>
              </w:rPr>
              <w:t>e</w:t>
            </w:r>
            <w:r w:rsidRPr="004C3073">
              <w:rPr>
                <w:rFonts w:eastAsia="Myriad Pro" w:cs="Myriad Pro"/>
                <w:spacing w:val="-2"/>
              </w:rPr>
              <w:t>r</w:t>
            </w:r>
            <w:r w:rsidRPr="004C3073">
              <w:rPr>
                <w:rFonts w:eastAsia="Myriad Pro" w:cs="Myriad Pro"/>
              </w:rPr>
              <w:t>encama (np</w:t>
            </w:r>
            <w:r w:rsidRPr="004C3073">
              <w:rPr>
                <w:rFonts w:eastAsia="Myriad Pro" w:cs="Myriad Pro"/>
                <w:spacing w:val="-12"/>
              </w:rPr>
              <w:t>r</w:t>
            </w:r>
            <w:r w:rsidRPr="004C3073">
              <w:rPr>
                <w:rFonts w:eastAsia="Myriad Pro" w:cs="Myriad Pro"/>
              </w:rPr>
              <w:t>. znans</w:t>
            </w:r>
            <w:r w:rsidRPr="004C3073">
              <w:rPr>
                <w:rFonts w:eastAsia="Myriad Pro" w:cs="Myriad Pro"/>
                <w:spacing w:val="2"/>
              </w:rPr>
              <w:t>t</w:t>
            </w:r>
            <w:r w:rsidRPr="004C3073">
              <w:rPr>
                <w:rFonts w:eastAsia="Myriad Pro" w:cs="Myriad Pro"/>
                <w:spacing w:val="-2"/>
              </w:rPr>
              <w:t>v</w:t>
            </w:r>
            <w:r w:rsidRPr="004C3073">
              <w:rPr>
                <w:rFonts w:eastAsia="Myriad Pro" w:cs="Myriad Pro"/>
              </w:rPr>
              <w:t>eni</w:t>
            </w:r>
            <w:r w:rsidRPr="004C3073">
              <w:rPr>
                <w:rFonts w:eastAsia="Myriad Pro" w:cs="Myriad Pro"/>
                <w:spacing w:val="4"/>
              </w:rPr>
              <w:t>k</w:t>
            </w:r>
            <w:r w:rsidRPr="004C3073">
              <w:rPr>
                <w:rFonts w:eastAsia="Myriad Pro" w:cs="Myriad Pro"/>
              </w:rPr>
              <w:t>a ili skupina korisni</w:t>
            </w:r>
            <w:r w:rsidRPr="004C3073">
              <w:rPr>
                <w:rFonts w:eastAsia="Myriad Pro" w:cs="Myriad Pro"/>
                <w:spacing w:val="4"/>
              </w:rPr>
              <w:t>k</w:t>
            </w:r>
            <w:r w:rsidRPr="004C3073">
              <w:rPr>
                <w:rFonts w:eastAsia="Myriad Pro" w:cs="Myriad Pro"/>
              </w:rPr>
              <w:t>a)</w:t>
            </w:r>
            <w:r w:rsidRPr="004C3073">
              <w:rPr>
                <w:rFonts w:eastAsia="Myriad Pro" w:cs="Myriad Pro"/>
                <w:lang w:val="af-ZA"/>
              </w:rPr>
              <w:t xml:space="preserve"> </w:t>
            </w:r>
          </w:p>
        </w:tc>
      </w:tr>
      <w:tr w:rsidR="005B50D6" w:rsidRPr="001649BA" w14:paraId="3ACFEAC5" w14:textId="77777777" w:rsidTr="00DE37AC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F9C50AD" w14:textId="77777777" w:rsidR="005B50D6" w:rsidRPr="001649BA" w:rsidRDefault="005B50D6" w:rsidP="00DE37AC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</w:t>
            </w:r>
            <w:r w:rsidRPr="001649BA">
              <w:rPr>
                <w:rFonts w:eastAsia="Myriad Pro" w:cs="Myriad Pro"/>
                <w:b/>
                <w:color w:val="231F20"/>
                <w:lang w:val="af-ZA"/>
              </w:rPr>
              <w:t xml:space="preserve"> 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ok zaprimanja odg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ora</w:t>
            </w:r>
            <w:r>
              <w:rPr>
                <w:rFonts w:eastAsia="Myriad Pro" w:cs="Myriad Pro"/>
                <w:color w:val="231F20"/>
                <w:lang w:val="af-ZA"/>
              </w:rPr>
              <w:t>: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 </w:t>
            </w:r>
            <w:r>
              <w:rPr>
                <w:rFonts w:eastAsia="Myriad Pro" w:cs="Myriad Pro"/>
                <w:color w:val="231F20"/>
                <w:lang w:val="af-ZA"/>
              </w:rPr>
              <w:t>10.11.2022. – 09.12.2022.</w:t>
            </w:r>
          </w:p>
        </w:tc>
      </w:tr>
      <w:tr w:rsidR="005B50D6" w:rsidRPr="001649BA" w14:paraId="038AE7C3" w14:textId="77777777" w:rsidTr="00DE37AC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6E4CF3" w14:textId="0A674152" w:rsidR="005B50D6" w:rsidRPr="001649BA" w:rsidRDefault="005B50D6" w:rsidP="00DE37A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im</w:t>
            </w:r>
            <w:r w:rsidRPr="001649BA">
              <w:rPr>
                <w:rFonts w:eastAsia="Myriad Pro" w:cs="Myriad Pro"/>
                <w:color w:val="231F20"/>
                <w:spacing w:val="-3"/>
                <w:lang w:val="af-ZA"/>
              </w:rPr>
              <w:t>e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, ad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esa i, gdje god je mogu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ć</w:t>
            </w:r>
            <w:r w:rsidRPr="001649BA">
              <w:rPr>
                <w:rFonts w:eastAsia="Myriad Pro" w:cs="Myriad Pro"/>
                <w:color w:val="231F20"/>
                <w:spacing w:val="-3"/>
                <w:lang w:val="af-ZA"/>
              </w:rPr>
              <w:t>e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, b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oj 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ele</w:t>
            </w:r>
            <w:r w:rsidRPr="001649BA">
              <w:rPr>
                <w:rFonts w:eastAsia="Myriad Pro" w:cs="Myriad Pro"/>
                <w:color w:val="231F20"/>
                <w:spacing w:val="-3"/>
                <w:lang w:val="af-ZA"/>
              </w:rPr>
              <w:t>f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ona i </w:t>
            </w:r>
            <w:r w:rsidRPr="001649BA">
              <w:rPr>
                <w:rFonts w:eastAsia="Myriad Pro" w:cs="Myriad Pro"/>
                <w:color w:val="231F20"/>
                <w:spacing w:val="6"/>
                <w:lang w:val="af-ZA"/>
              </w:rPr>
              <w:t>e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-mail ad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esa osobe kojoj se sudionici s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a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vje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anja mogu obratiti za dodatne upi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e: </w:t>
            </w:r>
            <w:hyperlink r:id="rId5" w:history="1">
              <w:r w:rsidR="006C79DC" w:rsidRPr="006B6088">
                <w:rPr>
                  <w:rStyle w:val="Hyperlink"/>
                  <w:rFonts w:eastAsia="Myriad Pro" w:cs="Myriad Pro"/>
                  <w:lang w:val="af-ZA"/>
                </w:rPr>
                <w:t>g</w:t>
              </w:r>
              <w:r w:rsidR="006C79DC" w:rsidRPr="006B6088">
                <w:rPr>
                  <w:rStyle w:val="Hyperlink"/>
                  <w:rFonts w:eastAsia="Myriad Pro" w:cs="Myriad Pro"/>
                  <w:lang w:val="af-ZA"/>
                </w:rPr>
                <w:t>ospodarstvo</w:t>
              </w:r>
              <w:r w:rsidR="006C79DC" w:rsidRPr="006B6088">
                <w:rPr>
                  <w:rStyle w:val="Hyperlink"/>
                  <w:rFonts w:eastAsia="Myriad Pro" w:cs="Myriad Pro"/>
                  <w:lang w:val="af-ZA"/>
                </w:rPr>
                <w:t>@karlovac.hr</w:t>
              </w:r>
            </w:hyperlink>
          </w:p>
        </w:tc>
      </w:tr>
      <w:tr w:rsidR="005B50D6" w:rsidRPr="001649BA" w14:paraId="61C4DB46" w14:textId="77777777" w:rsidTr="00DE37AC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2E9E362" w14:textId="77777777" w:rsidR="005B50D6" w:rsidRPr="00D60B40" w:rsidRDefault="005B50D6" w:rsidP="00DE37AC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Cs/>
                <w:lang w:val="af-ZA"/>
              </w:rPr>
            </w:pP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odg</w:t>
            </w:r>
            <w:r w:rsidRPr="00D60B40">
              <w:rPr>
                <w:rFonts w:eastAsia="Myriad Pro" w:cs="Myriad Pro"/>
                <w:bCs/>
                <w:color w:val="231F20"/>
                <w:spacing w:val="-2"/>
                <w:lang w:val="af-ZA"/>
              </w:rPr>
              <w:t>ov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 xml:space="preserve">ori će biti dostupni, osim </w:t>
            </w:r>
            <w:r w:rsidRPr="00D60B40">
              <w:rPr>
                <w:rFonts w:eastAsia="Myriad Pro" w:cs="Myriad Pro"/>
                <w:bCs/>
                <w:color w:val="231F20"/>
                <w:spacing w:val="4"/>
                <w:lang w:val="af-ZA"/>
              </w:rPr>
              <w:t>k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ada je onaj koji je poslao odg</w:t>
            </w:r>
            <w:r w:rsidRPr="00D60B40">
              <w:rPr>
                <w:rFonts w:eastAsia="Myriad Pro" w:cs="Myriad Pro"/>
                <w:bCs/>
                <w:color w:val="231F20"/>
                <w:spacing w:val="-2"/>
                <w:lang w:val="af-ZA"/>
              </w:rPr>
              <w:t>ov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or tražio da ostanu p</w:t>
            </w:r>
            <w:r w:rsidRPr="00D60B40">
              <w:rPr>
                <w:rFonts w:eastAsia="Myriad Pro" w:cs="Myriad Pro"/>
                <w:bCs/>
                <w:color w:val="231F20"/>
                <w:spacing w:val="-2"/>
                <w:lang w:val="af-ZA"/>
              </w:rPr>
              <w:t>o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vjerljivi</w:t>
            </w:r>
          </w:p>
        </w:tc>
      </w:tr>
      <w:tr w:rsidR="005B50D6" w:rsidRPr="001649BA" w14:paraId="6BB73FD4" w14:textId="77777777" w:rsidTr="00DE37AC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81D00DF" w14:textId="77777777" w:rsidR="005B50D6" w:rsidRPr="001649BA" w:rsidRDefault="005B50D6" w:rsidP="00DE37AC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pojašnjenje e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entualnih 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g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rani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č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enja koja bi mogla d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esti u pitanje potpunu primjenu smjernica</w:t>
            </w:r>
            <w:r w:rsidRPr="001649BA">
              <w:rPr>
                <w:rFonts w:eastAsia="Myriad Pro" w:cs="Myriad Pro"/>
                <w:lang w:val="af-ZA"/>
              </w:rPr>
              <w:t xml:space="preserve"> 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Kodeksa </w:t>
            </w:r>
          </w:p>
        </w:tc>
      </w:tr>
    </w:tbl>
    <w:p w14:paraId="70189988" w14:textId="77777777" w:rsidR="005B50D6" w:rsidRPr="001649BA" w:rsidRDefault="005B50D6" w:rsidP="005B50D6">
      <w:pPr>
        <w:spacing w:before="7" w:after="0" w:line="120" w:lineRule="exact"/>
        <w:rPr>
          <w:lang w:val="af-ZA"/>
        </w:rPr>
      </w:pPr>
    </w:p>
    <w:p w14:paraId="76D89076" w14:textId="77777777" w:rsidR="002E151A" w:rsidRDefault="002E151A"/>
    <w:sectPr w:rsidR="002E151A" w:rsidSect="00B71000">
      <w:footerReference w:type="default" r:id="rId6"/>
      <w:pgSz w:w="11900" w:h="16840"/>
      <w:pgMar w:top="142" w:right="1280" w:bottom="0" w:left="1020" w:header="0" w:footer="6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28CC" w14:textId="77777777" w:rsidR="001D7128" w:rsidRDefault="006C79DC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878B48" wp14:editId="6CF72FA8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826C9" w14:textId="77777777" w:rsidR="001D7128" w:rsidRDefault="006C79DC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78B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81826C9" w14:textId="77777777" w:rsidR="001D7128" w:rsidRDefault="006C79DC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64280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D6"/>
    <w:rsid w:val="002E151A"/>
    <w:rsid w:val="005B50D6"/>
    <w:rsid w:val="006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90EA"/>
  <w15:chartTrackingRefBased/>
  <w15:docId w15:val="{2E685A33-D6FF-479D-9155-3AB55D41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D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ospodarstvo@karl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Peris</dc:creator>
  <cp:keywords/>
  <dc:description/>
  <cp:lastModifiedBy>Daniela Peris</cp:lastModifiedBy>
  <cp:revision>1</cp:revision>
  <dcterms:created xsi:type="dcterms:W3CDTF">2022-11-09T16:09:00Z</dcterms:created>
  <dcterms:modified xsi:type="dcterms:W3CDTF">2022-11-09T16:29:00Z</dcterms:modified>
</cp:coreProperties>
</file>